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C8034">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2883690B">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07E60992">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14:paraId="30A1D244">
      <w:pPr>
        <w:snapToGrid w:val="0"/>
        <w:spacing w:line="360" w:lineRule="auto"/>
        <w:ind w:right="-447"/>
        <w:jc w:val="center"/>
        <w:rPr>
          <w:rFonts w:hint="eastAsia" w:ascii="仿宋" w:hAnsi="仿宋" w:eastAsia="仿宋" w:cs="仿宋"/>
          <w:b/>
          <w:color w:val="auto"/>
          <w:sz w:val="36"/>
          <w:szCs w:val="48"/>
          <w:highlight w:val="none"/>
          <w:lang w:eastAsia="zh-CN"/>
        </w:rPr>
      </w:pPr>
      <w:r>
        <w:rPr>
          <w:rFonts w:hint="eastAsia" w:ascii="仿宋" w:hAnsi="仿宋" w:eastAsia="仿宋" w:cs="仿宋"/>
          <w:b/>
          <w:color w:val="auto"/>
          <w:sz w:val="36"/>
          <w:szCs w:val="48"/>
          <w:highlight w:val="none"/>
          <w:lang w:eastAsia="zh-CN"/>
        </w:rPr>
        <w:t xml:space="preserve">钢制弹簧联轴器\(PEPPERL+FUCHS)9401 </w:t>
      </w:r>
      <w:r>
        <w:rPr>
          <w:rFonts w:hint="eastAsia" w:ascii="仿宋" w:hAnsi="仿宋" w:eastAsia="仿宋" w:cs="仿宋"/>
          <w:b/>
          <w:color w:val="auto"/>
          <w:sz w:val="36"/>
          <w:szCs w:val="48"/>
          <w:highlight w:val="none"/>
          <w:lang w:val="en-US" w:eastAsia="zh-CN"/>
        </w:rPr>
        <w:t>8</w:t>
      </w:r>
      <w:r>
        <w:rPr>
          <w:rFonts w:hint="eastAsia" w:ascii="仿宋" w:hAnsi="仿宋" w:eastAsia="仿宋" w:cs="仿宋"/>
          <w:b/>
          <w:color w:val="auto"/>
          <w:sz w:val="36"/>
          <w:szCs w:val="48"/>
          <w:highlight w:val="none"/>
          <w:lang w:eastAsia="zh-CN"/>
        </w:rPr>
        <w:t>×10</w:t>
      </w:r>
    </w:p>
    <w:p w14:paraId="6726D288">
      <w:pPr>
        <w:snapToGrid w:val="0"/>
        <w:spacing w:line="360" w:lineRule="auto"/>
        <w:ind w:right="-447"/>
        <w:jc w:val="center"/>
        <w:rPr>
          <w:rFonts w:hint="eastAsia" w:ascii="仿宋" w:hAnsi="仿宋" w:eastAsia="仿宋" w:cs="仿宋"/>
          <w:b/>
          <w:color w:val="auto"/>
          <w:sz w:val="36"/>
          <w:szCs w:val="48"/>
          <w:highlight w:val="none"/>
          <w:lang w:val="en-US" w:eastAsia="zh-CN"/>
        </w:rPr>
      </w:pPr>
      <w:r>
        <w:rPr>
          <w:rFonts w:hint="eastAsia" w:ascii="仿宋" w:hAnsi="仿宋" w:eastAsia="仿宋" w:cs="仿宋"/>
          <w:b/>
          <w:color w:val="auto"/>
          <w:sz w:val="36"/>
          <w:szCs w:val="48"/>
          <w:highlight w:val="none"/>
          <w:lang w:val="en-US" w:eastAsia="zh-CN"/>
        </w:rPr>
        <w:t>（70458467）</w:t>
      </w:r>
    </w:p>
    <w:p w14:paraId="6A2E368E">
      <w:pPr>
        <w:snapToGrid w:val="0"/>
        <w:spacing w:line="360" w:lineRule="auto"/>
        <w:ind w:right="-447"/>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48"/>
          <w:highlight w:val="none"/>
        </w:rPr>
        <w:t>采购技术</w:t>
      </w:r>
      <w:r>
        <w:rPr>
          <w:rFonts w:hint="eastAsia" w:ascii="仿宋" w:hAnsi="仿宋" w:eastAsia="仿宋" w:cs="仿宋"/>
          <w:b/>
          <w:color w:val="auto"/>
          <w:sz w:val="36"/>
          <w:szCs w:val="48"/>
          <w:highlight w:val="none"/>
          <w:lang w:val="en-US" w:eastAsia="zh-CN"/>
        </w:rPr>
        <w:t>规格书</w:t>
      </w:r>
    </w:p>
    <w:p w14:paraId="65ADDEE5">
      <w:pPr>
        <w:snapToGrid w:val="0"/>
        <w:spacing w:line="360" w:lineRule="auto"/>
        <w:ind w:right="-447"/>
        <w:jc w:val="center"/>
        <w:rPr>
          <w:rFonts w:hint="eastAsia" w:ascii="仿宋" w:hAnsi="仿宋" w:eastAsia="仿宋" w:cs="仿宋"/>
          <w:b/>
          <w:color w:val="auto"/>
          <w:sz w:val="36"/>
          <w:szCs w:val="48"/>
          <w:highlight w:val="none"/>
        </w:rPr>
      </w:pPr>
    </w:p>
    <w:p w14:paraId="3B2F5D25">
      <w:pPr>
        <w:snapToGrid w:val="0"/>
        <w:spacing w:line="360" w:lineRule="auto"/>
        <w:ind w:right="-447"/>
        <w:jc w:val="center"/>
        <w:rPr>
          <w:rFonts w:hint="eastAsia" w:ascii="仿宋" w:hAnsi="仿宋" w:eastAsia="仿宋" w:cs="仿宋"/>
          <w:b/>
          <w:color w:val="auto"/>
          <w:sz w:val="36"/>
          <w:szCs w:val="48"/>
          <w:highlight w:val="none"/>
        </w:rPr>
      </w:pPr>
    </w:p>
    <w:p w14:paraId="661D5725">
      <w:pPr>
        <w:pStyle w:val="2"/>
        <w:rPr>
          <w:rFonts w:hint="eastAsia" w:ascii="仿宋" w:hAnsi="仿宋" w:eastAsia="仿宋" w:cs="仿宋"/>
          <w:color w:val="auto"/>
          <w:highlight w:val="none"/>
        </w:rPr>
      </w:pPr>
    </w:p>
    <w:p w14:paraId="6A05D71A">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14:paraId="2D4AB641">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14:paraId="4AE12950">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14:paraId="2698D07B">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14:paraId="174A00BB">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14:paraId="3431CC6F">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14:paraId="31CE0AF4">
      <w:pPr>
        <w:widowControl/>
        <w:spacing w:before="100" w:beforeAutospacing="1" w:after="100" w:afterAutospacing="1" w:line="360" w:lineRule="auto"/>
        <w:ind w:right="72" w:rightChars="30" w:firstLine="5409" w:firstLineChars="1796"/>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lang w:val="en-US" w:eastAsia="zh-CN"/>
        </w:rPr>
        <w:t>6</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22</w:t>
      </w:r>
      <w:r>
        <w:rPr>
          <w:rFonts w:hint="eastAsia" w:ascii="仿宋" w:hAnsi="仿宋" w:eastAsia="仿宋" w:cs="仿宋"/>
          <w:b/>
          <w:color w:val="auto"/>
          <w:sz w:val="30"/>
          <w:szCs w:val="30"/>
          <w:highlight w:val="none"/>
        </w:rPr>
        <w:t>日</w:t>
      </w:r>
    </w:p>
    <w:p w14:paraId="00443FB7">
      <w:pPr>
        <w:spacing w:line="360" w:lineRule="auto"/>
        <w:rPr>
          <w:rFonts w:hint="eastAsia" w:ascii="仿宋" w:hAnsi="仿宋" w:eastAsia="仿宋" w:cs="仿宋"/>
          <w:bCs/>
          <w:color w:val="auto"/>
          <w:highlight w:val="none"/>
        </w:rPr>
      </w:pPr>
    </w:p>
    <w:p w14:paraId="0C356C52">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2F067D94">
      <w:pPr>
        <w:spacing w:line="360" w:lineRule="auto"/>
        <w:ind w:firstLine="3791" w:firstLineChars="1049"/>
        <w:rPr>
          <w:rFonts w:hint="eastAsia" w:ascii="仿宋" w:hAnsi="仿宋" w:eastAsia="仿宋" w:cs="仿宋"/>
          <w:b/>
          <w:color w:val="auto"/>
          <w:sz w:val="36"/>
          <w:szCs w:val="36"/>
          <w:highlight w:val="none"/>
        </w:rPr>
      </w:pPr>
    </w:p>
    <w:p w14:paraId="606DDD48">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14:paraId="0063B3DE">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14:paraId="4411E5F8">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14:paraId="4DD5087D">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14:paraId="1900CC13">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14:paraId="59BF3D1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14:paraId="2D8C0BF8">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14:paraId="2A269DDF">
      <w:pPr>
        <w:snapToGrid w:val="0"/>
        <w:spacing w:line="360" w:lineRule="auto"/>
        <w:ind w:right="-447"/>
        <w:jc w:val="both"/>
        <w:rPr>
          <w:rFonts w:hint="eastAsia" w:ascii="仿宋" w:hAnsi="仿宋" w:eastAsia="仿宋" w:cs="仿宋"/>
          <w:b/>
          <w:color w:val="auto"/>
          <w:sz w:val="28"/>
          <w:szCs w:val="28"/>
          <w:highlight w:val="none"/>
        </w:rPr>
      </w:pPr>
    </w:p>
    <w:p w14:paraId="258C275C">
      <w:pPr>
        <w:snapToGrid w:val="0"/>
        <w:spacing w:line="360" w:lineRule="auto"/>
        <w:ind w:right="-447"/>
        <w:jc w:val="both"/>
        <w:rPr>
          <w:rFonts w:hint="eastAsia" w:ascii="仿宋" w:hAnsi="仿宋" w:eastAsia="仿宋" w:cs="仿宋"/>
          <w:b/>
          <w:color w:val="auto"/>
          <w:sz w:val="28"/>
          <w:szCs w:val="28"/>
          <w:highlight w:val="none"/>
        </w:rPr>
      </w:pPr>
    </w:p>
    <w:p w14:paraId="1F5F52F9">
      <w:pPr>
        <w:snapToGrid w:val="0"/>
        <w:spacing w:line="360" w:lineRule="auto"/>
        <w:ind w:right="-447"/>
        <w:jc w:val="both"/>
        <w:rPr>
          <w:rFonts w:hint="eastAsia" w:ascii="仿宋" w:hAnsi="仿宋" w:eastAsia="仿宋" w:cs="仿宋"/>
          <w:b/>
          <w:color w:val="auto"/>
          <w:sz w:val="28"/>
          <w:szCs w:val="28"/>
          <w:highlight w:val="none"/>
        </w:rPr>
      </w:pPr>
    </w:p>
    <w:p w14:paraId="0E496088">
      <w:pPr>
        <w:snapToGrid w:val="0"/>
        <w:spacing w:line="360" w:lineRule="auto"/>
        <w:ind w:right="-447"/>
        <w:jc w:val="both"/>
        <w:rPr>
          <w:rFonts w:hint="eastAsia" w:ascii="仿宋" w:hAnsi="仿宋" w:eastAsia="仿宋" w:cs="仿宋"/>
          <w:b/>
          <w:color w:val="auto"/>
          <w:sz w:val="28"/>
          <w:szCs w:val="28"/>
          <w:highlight w:val="none"/>
        </w:rPr>
      </w:pPr>
    </w:p>
    <w:p w14:paraId="37B9B9F8">
      <w:pPr>
        <w:snapToGrid w:val="0"/>
        <w:spacing w:line="360" w:lineRule="auto"/>
        <w:ind w:right="-447"/>
        <w:jc w:val="both"/>
        <w:rPr>
          <w:rFonts w:hint="eastAsia" w:ascii="仿宋" w:hAnsi="仿宋" w:eastAsia="仿宋" w:cs="仿宋"/>
          <w:b/>
          <w:color w:val="auto"/>
          <w:sz w:val="28"/>
          <w:szCs w:val="28"/>
          <w:highlight w:val="none"/>
        </w:rPr>
      </w:pPr>
    </w:p>
    <w:p w14:paraId="41F274E2">
      <w:pPr>
        <w:snapToGrid w:val="0"/>
        <w:spacing w:line="360" w:lineRule="auto"/>
        <w:ind w:right="-447"/>
        <w:jc w:val="both"/>
        <w:rPr>
          <w:rFonts w:hint="eastAsia" w:ascii="仿宋" w:hAnsi="仿宋" w:eastAsia="仿宋" w:cs="仿宋"/>
          <w:b/>
          <w:color w:val="auto"/>
          <w:sz w:val="28"/>
          <w:szCs w:val="28"/>
          <w:highlight w:val="none"/>
        </w:rPr>
      </w:pPr>
    </w:p>
    <w:p w14:paraId="7E4D269E">
      <w:pPr>
        <w:snapToGrid w:val="0"/>
        <w:spacing w:line="360" w:lineRule="auto"/>
        <w:ind w:right="-447"/>
        <w:jc w:val="both"/>
        <w:rPr>
          <w:rFonts w:hint="eastAsia" w:ascii="仿宋" w:hAnsi="仿宋" w:eastAsia="仿宋" w:cs="仿宋"/>
          <w:b/>
          <w:color w:val="auto"/>
          <w:sz w:val="28"/>
          <w:szCs w:val="28"/>
          <w:highlight w:val="none"/>
        </w:rPr>
      </w:pPr>
    </w:p>
    <w:p w14:paraId="671FF8CD">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790B038B">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1BF0BD50">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val="en-US" w:eastAsia="zh-CN"/>
        </w:rPr>
        <w:t xml:space="preserve">钢制弹簧联轴器\(PEPPERL+FUCHS)9401 8×10  </w:t>
      </w:r>
      <w:r>
        <w:rPr>
          <w:rFonts w:hint="eastAsia" w:ascii="仿宋" w:hAnsi="仿宋" w:eastAsia="仿宋" w:cs="仿宋"/>
          <w:color w:val="auto"/>
          <w:sz w:val="21"/>
          <w:szCs w:val="21"/>
          <w:highlight w:val="none"/>
        </w:rPr>
        <w:t>采购经双方协商，达成如下技术协议：</w:t>
      </w:r>
    </w:p>
    <w:p w14:paraId="3CDBC6D0">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14:paraId="722A5173">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14:paraId="6B99E429">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14:paraId="441F2BA7">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14:paraId="3CBCAFCD">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14:paraId="7EF189A1">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乙方提供货物的制造、材料的选择，都应按照国内外通用的现行标准和相应的技术规范执行，而这些标准和技术规范应为合同签字日为止最新公布发问的标准和技术规范</w:t>
      </w:r>
      <w:r>
        <w:rPr>
          <w:rFonts w:hint="eastAsia" w:ascii="仿宋" w:hAnsi="仿宋" w:eastAsia="仿宋" w:cs="仿宋"/>
          <w:color w:val="auto"/>
          <w:sz w:val="21"/>
          <w:szCs w:val="21"/>
          <w:highlight w:val="none"/>
          <w:lang w:eastAsia="zh-CN"/>
        </w:rPr>
        <w:t>。</w:t>
      </w:r>
    </w:p>
    <w:p w14:paraId="3E8CB592">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1.5乙方须对钢制弹簧联轴器的完整性、合理性和设计质量承担全部责任。保证设备满足系统工艺要求。</w:t>
      </w:r>
    </w:p>
    <w:p w14:paraId="797B5770">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14:paraId="4B77FCB9">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14:paraId="61C66039">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14:paraId="629980B2">
      <w:pPr>
        <w:spacing w:line="360" w:lineRule="auto"/>
        <w:ind w:firstLine="413" w:firstLineChars="196"/>
        <w:rPr>
          <w:rFonts w:hint="eastAsia" w:ascii="仿宋" w:hAnsi="仿宋" w:eastAsia="仿宋" w:cs="仿宋"/>
          <w:color w:val="auto"/>
          <w:sz w:val="21"/>
          <w:szCs w:val="21"/>
          <w:highlight w:val="none"/>
          <w:lang w:eastAsia="zh-CN"/>
        </w:rPr>
      </w:pPr>
      <w:r>
        <w:rPr>
          <w:rFonts w:hint="eastAsia" w:ascii="仿宋" w:hAnsi="仿宋" w:eastAsia="仿宋" w:cs="仿宋"/>
          <w:b/>
          <w:color w:val="auto"/>
          <w:sz w:val="21"/>
          <w:szCs w:val="21"/>
          <w:highlight w:val="none"/>
        </w:rPr>
        <w:t>2.1 使用环境</w:t>
      </w:r>
    </w:p>
    <w:p w14:paraId="696A9593">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lang w:eastAsia="zh-CN"/>
        </w:rPr>
        <w:t>该</w:t>
      </w:r>
      <w:r>
        <w:rPr>
          <w:rFonts w:hint="eastAsia" w:ascii="仿宋" w:hAnsi="仿宋" w:eastAsia="仿宋" w:cs="仿宋"/>
          <w:color w:val="auto"/>
          <w:sz w:val="21"/>
          <w:szCs w:val="21"/>
          <w:highlight w:val="none"/>
          <w:lang w:val="en-US" w:eastAsia="zh-CN"/>
        </w:rPr>
        <w:t>钢制弹簧联轴器</w:t>
      </w:r>
      <w:r>
        <w:rPr>
          <w:rFonts w:hint="eastAsia" w:ascii="仿宋" w:hAnsi="仿宋" w:eastAsia="仿宋" w:cs="仿宋"/>
          <w:color w:val="auto"/>
          <w:sz w:val="21"/>
          <w:szCs w:val="21"/>
          <w:highlight w:val="none"/>
          <w:lang w:eastAsia="zh-CN"/>
        </w:rPr>
        <w:t>使用于酒钢炼铁厂</w:t>
      </w:r>
      <w:r>
        <w:rPr>
          <w:rFonts w:hint="eastAsia" w:ascii="仿宋" w:hAnsi="仿宋" w:eastAsia="仿宋" w:cs="仿宋"/>
          <w:color w:val="auto"/>
          <w:sz w:val="21"/>
          <w:szCs w:val="21"/>
          <w:highlight w:val="none"/>
          <w:lang w:val="en-US" w:eastAsia="zh-CN"/>
        </w:rPr>
        <w:t>2号高炉炉顶探尺、节流阀、α、β角</w:t>
      </w:r>
      <w:r>
        <w:rPr>
          <w:rFonts w:hint="eastAsia" w:ascii="仿宋" w:hAnsi="仿宋" w:eastAsia="仿宋" w:cs="仿宋"/>
          <w:color w:val="auto"/>
          <w:sz w:val="21"/>
          <w:szCs w:val="21"/>
          <w:highlight w:val="none"/>
          <w:lang w:eastAsia="zh-CN"/>
        </w:rPr>
        <w:t>，环境温度为</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lang w:eastAsia="zh-CN"/>
        </w:rPr>
        <w:t>3</w:t>
      </w:r>
      <w:r>
        <w:rPr>
          <w:rFonts w:hint="eastAsia" w:ascii="仿宋" w:hAnsi="仿宋" w:eastAsia="仿宋" w:cs="仿宋"/>
          <w:color w:val="auto"/>
          <w:sz w:val="21"/>
          <w:szCs w:val="21"/>
          <w:highlight w:val="none"/>
          <w:lang w:val="en-US" w:eastAsia="zh-CN"/>
        </w:rPr>
        <w:t>0</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--6</w:t>
      </w:r>
      <w:r>
        <w:rPr>
          <w:rFonts w:hint="eastAsia" w:ascii="仿宋" w:hAnsi="仿宋" w:eastAsia="仿宋" w:cs="仿宋"/>
          <w:color w:val="auto"/>
          <w:sz w:val="21"/>
          <w:szCs w:val="21"/>
          <w:highlight w:val="none"/>
          <w:lang w:eastAsia="zh-CN"/>
        </w:rPr>
        <w:t>0℃。海拔1640米。</w:t>
      </w:r>
    </w:p>
    <w:p w14:paraId="7534CAA1">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2.1.2</w:t>
      </w:r>
      <w:r>
        <w:rPr>
          <w:rFonts w:hint="eastAsia" w:ascii="仿宋" w:hAnsi="仿宋" w:eastAsia="仿宋" w:cs="仿宋"/>
          <w:color w:val="auto"/>
          <w:sz w:val="21"/>
          <w:szCs w:val="21"/>
          <w:highlight w:val="none"/>
          <w:lang w:eastAsia="zh-CN"/>
        </w:rPr>
        <w:t>现场使用</w:t>
      </w:r>
      <w:r>
        <w:rPr>
          <w:rFonts w:hint="eastAsia" w:ascii="仿宋" w:hAnsi="仿宋" w:eastAsia="仿宋" w:cs="仿宋"/>
          <w:color w:val="auto"/>
          <w:sz w:val="21"/>
          <w:szCs w:val="21"/>
          <w:highlight w:val="none"/>
          <w:lang w:val="en-US" w:eastAsia="zh-CN"/>
        </w:rPr>
        <w:t>为煤气区域。</w:t>
      </w:r>
    </w:p>
    <w:p w14:paraId="70B16A44">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p w14:paraId="2406E94B">
      <w:pPr>
        <w:snapToGrid w:val="0"/>
        <w:spacing w:line="360" w:lineRule="auto"/>
        <w:ind w:right="-447" w:firstLine="420" w:firstLineChars="200"/>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 xml:space="preserve">2.2.1 </w:t>
      </w:r>
      <w:bookmarkEnd w:id="0"/>
      <w:r>
        <w:rPr>
          <w:rFonts w:hint="eastAsia" w:ascii="仿宋" w:hAnsi="仿宋" w:eastAsia="仿宋" w:cs="仿宋"/>
          <w:color w:val="auto"/>
          <w:sz w:val="21"/>
          <w:szCs w:val="21"/>
          <w:highlight w:val="none"/>
          <w:lang w:eastAsia="zh-CN"/>
        </w:rPr>
        <w:t>与编码器配套使用。</w:t>
      </w:r>
    </w:p>
    <w:p w14:paraId="58DEA64A">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14:paraId="37CC52C6">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 相关参数</w:t>
      </w:r>
    </w:p>
    <w:p w14:paraId="299DBF8B">
      <w:pPr>
        <w:spacing w:line="360" w:lineRule="auto"/>
        <w:ind w:firstLine="478" w:firstLineChars="228"/>
        <w:rPr>
          <w:rFonts w:hint="eastAsia"/>
          <w:lang w:eastAsia="zh-CN"/>
        </w:rPr>
      </w:pPr>
      <w:r>
        <w:rPr>
          <w:rFonts w:hint="eastAsia" w:ascii="仿宋" w:hAnsi="仿宋" w:eastAsia="仿宋" w:cs="仿宋"/>
          <w:color w:val="auto"/>
          <w:sz w:val="21"/>
          <w:szCs w:val="21"/>
          <w:highlight w:val="none"/>
          <w:lang w:val="en-US" w:eastAsia="zh-CN"/>
        </w:rPr>
        <w:t xml:space="preserve">① 型号：钢制弹簧联轴器\(PEPPERL+FUCHS)9401 8×10 </w:t>
      </w:r>
      <w:r>
        <w:rPr>
          <w:rFonts w:hint="eastAsia" w:ascii="仿宋" w:hAnsi="仿宋" w:eastAsia="仿宋" w:cs="仿宋"/>
          <w:color w:val="FF0000"/>
          <w:sz w:val="21"/>
          <w:szCs w:val="21"/>
          <w:highlight w:val="none"/>
          <w:lang w:val="en-US" w:eastAsia="zh-CN"/>
        </w:rPr>
        <w:t xml:space="preserve">   </w:t>
      </w:r>
    </w:p>
    <w:p w14:paraId="32077FD5">
      <w:pPr>
        <w:spacing w:line="360" w:lineRule="auto"/>
        <w:ind w:firstLine="478" w:firstLineChars="228"/>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drawing>
          <wp:inline distT="0" distB="0" distL="114300" distR="114300">
            <wp:extent cx="2234565" cy="1210945"/>
            <wp:effectExtent l="0" t="0" r="13335" b="8255"/>
            <wp:docPr id="1" name="图片 1" descr="IMG_20251201_210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0251201_210508"/>
                    <pic:cNvPicPr>
                      <a:picLocks noChangeAspect="1"/>
                    </pic:cNvPicPr>
                  </pic:nvPicPr>
                  <pic:blipFill>
                    <a:blip r:embed="rId7"/>
                    <a:stretch>
                      <a:fillRect/>
                    </a:stretch>
                  </pic:blipFill>
                  <pic:spPr>
                    <a:xfrm>
                      <a:off x="0" y="0"/>
                      <a:ext cx="2234565" cy="1210945"/>
                    </a:xfrm>
                    <a:prstGeom prst="rect">
                      <a:avLst/>
                    </a:prstGeom>
                  </pic:spPr>
                </pic:pic>
              </a:graphicData>
            </a:graphic>
          </wp:inline>
        </w:drawing>
      </w:r>
    </w:p>
    <w:p w14:paraId="3D910535">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2.3.2</w:t>
      </w:r>
      <w:r>
        <w:rPr>
          <w:rFonts w:hint="eastAsia" w:ascii="仿宋" w:hAnsi="仿宋" w:eastAsia="仿宋" w:cs="仿宋"/>
          <w:color w:val="auto"/>
          <w:sz w:val="21"/>
          <w:szCs w:val="21"/>
          <w:highlight w:val="none"/>
          <w:lang w:val="en-US" w:eastAsia="zh-CN"/>
        </w:rPr>
        <w:t>钢制弹簧联轴器</w:t>
      </w:r>
      <w:r>
        <w:rPr>
          <w:rFonts w:hint="eastAsia" w:ascii="仿宋" w:hAnsi="仿宋" w:eastAsia="仿宋" w:cs="仿宋"/>
          <w:color w:val="auto"/>
          <w:sz w:val="21"/>
          <w:szCs w:val="21"/>
          <w:highlight w:val="none"/>
          <w:lang w:eastAsia="zh-CN"/>
        </w:rPr>
        <w:t>主要</w:t>
      </w:r>
      <w:r>
        <w:rPr>
          <w:rFonts w:hint="eastAsia" w:ascii="仿宋" w:hAnsi="仿宋" w:eastAsia="仿宋" w:cs="仿宋"/>
          <w:color w:val="auto"/>
          <w:sz w:val="21"/>
          <w:szCs w:val="21"/>
          <w:highlight w:val="none"/>
          <w:lang w:val="en-US" w:eastAsia="zh-CN"/>
        </w:rPr>
        <w:t>技术</w:t>
      </w:r>
      <w:r>
        <w:rPr>
          <w:rFonts w:hint="eastAsia" w:ascii="仿宋" w:hAnsi="仿宋" w:eastAsia="仿宋" w:cs="仿宋"/>
          <w:color w:val="auto"/>
          <w:sz w:val="21"/>
          <w:szCs w:val="21"/>
          <w:highlight w:val="none"/>
        </w:rPr>
        <w:t>要求</w:t>
      </w:r>
    </w:p>
    <w:p w14:paraId="57BCAABF">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1、现场安装环境：环境温度60℃左右最低气温-30℃，最高气温70℃，现场防爆区域。</w:t>
      </w:r>
    </w:p>
    <w:p w14:paraId="02FA0C8C">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2、设备使用环境条件：室外。</w:t>
      </w:r>
    </w:p>
    <w:p w14:paraId="23BC2020">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tbl>
      <w:tblPr>
        <w:tblStyle w:val="12"/>
        <w:tblW w:w="4998" w:type="pct"/>
        <w:tblInd w:w="0" w:type="dxa"/>
        <w:tblLayout w:type="autofit"/>
        <w:tblCellMar>
          <w:top w:w="0" w:type="dxa"/>
          <w:left w:w="108" w:type="dxa"/>
          <w:bottom w:w="0" w:type="dxa"/>
          <w:right w:w="108" w:type="dxa"/>
        </w:tblCellMar>
      </w:tblPr>
      <w:tblGrid>
        <w:gridCol w:w="575"/>
        <w:gridCol w:w="1296"/>
        <w:gridCol w:w="2372"/>
        <w:gridCol w:w="1167"/>
        <w:gridCol w:w="1626"/>
        <w:gridCol w:w="1195"/>
        <w:gridCol w:w="1341"/>
      </w:tblGrid>
      <w:tr w14:paraId="322EAD45">
        <w:tblPrEx>
          <w:tblCellMar>
            <w:top w:w="0" w:type="dxa"/>
            <w:left w:w="108" w:type="dxa"/>
            <w:bottom w:w="0" w:type="dxa"/>
            <w:right w:w="108" w:type="dxa"/>
          </w:tblCellMar>
        </w:tblPrEx>
        <w:trPr>
          <w:trHeight w:val="400" w:hRule="atLeast"/>
        </w:trPr>
        <w:tc>
          <w:tcPr>
            <w:tcW w:w="312" w:type="pct"/>
            <w:vMerge w:val="restart"/>
            <w:tcBorders>
              <w:top w:val="single" w:color="auto" w:sz="4" w:space="0"/>
              <w:left w:val="single" w:color="auto" w:sz="4" w:space="0"/>
              <w:bottom w:val="single" w:color="auto" w:sz="4" w:space="0"/>
              <w:right w:val="single" w:color="auto" w:sz="4" w:space="0"/>
            </w:tcBorders>
            <w:noWrap w:val="0"/>
            <w:vAlign w:val="center"/>
          </w:tcPr>
          <w:p w14:paraId="668A401E">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05" w:type="pct"/>
            <w:vMerge w:val="restart"/>
            <w:tcBorders>
              <w:top w:val="single" w:color="auto" w:sz="4" w:space="0"/>
              <w:left w:val="single" w:color="auto" w:sz="4" w:space="0"/>
              <w:bottom w:val="single" w:color="auto" w:sz="4" w:space="0"/>
              <w:right w:val="single" w:color="auto" w:sz="4" w:space="0"/>
            </w:tcBorders>
            <w:noWrap w:val="0"/>
            <w:vAlign w:val="center"/>
          </w:tcPr>
          <w:p w14:paraId="60678426">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250" w:type="pct"/>
            <w:vMerge w:val="restart"/>
            <w:tcBorders>
              <w:top w:val="single" w:color="auto" w:sz="4" w:space="0"/>
              <w:left w:val="single" w:color="auto" w:sz="4" w:space="0"/>
              <w:bottom w:val="single" w:color="auto" w:sz="4" w:space="0"/>
              <w:right w:val="single" w:color="auto" w:sz="4" w:space="0"/>
            </w:tcBorders>
            <w:noWrap w:val="0"/>
            <w:vAlign w:val="center"/>
          </w:tcPr>
          <w:p w14:paraId="308C4094">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621" w:type="pct"/>
            <w:vMerge w:val="restart"/>
            <w:tcBorders>
              <w:top w:val="single" w:color="auto" w:sz="4" w:space="0"/>
              <w:left w:val="single" w:color="auto" w:sz="4" w:space="0"/>
              <w:bottom w:val="single" w:color="auto" w:sz="4" w:space="0"/>
              <w:right w:val="single" w:color="auto" w:sz="4" w:space="0"/>
            </w:tcBorders>
            <w:noWrap w:val="0"/>
            <w:vAlign w:val="center"/>
          </w:tcPr>
          <w:p w14:paraId="61FA2ABA">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61" w:type="pct"/>
            <w:vMerge w:val="restart"/>
            <w:tcBorders>
              <w:top w:val="single" w:color="auto" w:sz="4" w:space="0"/>
              <w:left w:val="single" w:color="auto" w:sz="4" w:space="0"/>
              <w:bottom w:val="single" w:color="auto" w:sz="4" w:space="0"/>
              <w:right w:val="single" w:color="auto" w:sz="4" w:space="0"/>
            </w:tcBorders>
            <w:noWrap w:val="0"/>
            <w:vAlign w:val="center"/>
          </w:tcPr>
          <w:p w14:paraId="5145E0DC">
            <w:pPr>
              <w:widowControl/>
              <w:spacing w:line="360" w:lineRule="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推荐厂家/品牌</w:t>
            </w:r>
          </w:p>
        </w:tc>
        <w:tc>
          <w:tcPr>
            <w:tcW w:w="1348" w:type="pct"/>
            <w:gridSpan w:val="2"/>
            <w:tcBorders>
              <w:top w:val="single" w:color="auto" w:sz="4" w:space="0"/>
              <w:left w:val="nil"/>
              <w:bottom w:val="single" w:color="auto" w:sz="4" w:space="0"/>
              <w:right w:val="single" w:color="auto" w:sz="4" w:space="0"/>
            </w:tcBorders>
            <w:noWrap w:val="0"/>
            <w:vAlign w:val="center"/>
          </w:tcPr>
          <w:p w14:paraId="0B5E6311">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14:paraId="3C9A9959">
        <w:tblPrEx>
          <w:tblCellMar>
            <w:top w:w="0" w:type="dxa"/>
            <w:left w:w="108" w:type="dxa"/>
            <w:bottom w:w="0" w:type="dxa"/>
            <w:right w:w="108" w:type="dxa"/>
          </w:tblCellMar>
        </w:tblPrEx>
        <w:trPr>
          <w:trHeight w:val="400" w:hRule="atLeast"/>
        </w:trPr>
        <w:tc>
          <w:tcPr>
            <w:tcW w:w="312" w:type="pct"/>
            <w:vMerge w:val="continue"/>
            <w:tcBorders>
              <w:top w:val="single" w:color="auto" w:sz="4" w:space="0"/>
              <w:left w:val="single" w:color="auto" w:sz="4" w:space="0"/>
              <w:bottom w:val="single" w:color="auto" w:sz="4" w:space="0"/>
              <w:right w:val="single" w:color="auto" w:sz="4" w:space="0"/>
            </w:tcBorders>
            <w:noWrap w:val="0"/>
            <w:vAlign w:val="center"/>
          </w:tcPr>
          <w:p w14:paraId="3FCBD599">
            <w:pPr>
              <w:widowControl/>
              <w:spacing w:line="360" w:lineRule="auto"/>
              <w:jc w:val="center"/>
              <w:rPr>
                <w:rFonts w:hint="eastAsia" w:ascii="仿宋" w:hAnsi="仿宋" w:eastAsia="仿宋" w:cs="仿宋"/>
                <w:color w:val="auto"/>
                <w:sz w:val="21"/>
                <w:szCs w:val="21"/>
                <w:highlight w:val="none"/>
              </w:rPr>
            </w:pPr>
          </w:p>
        </w:tc>
        <w:tc>
          <w:tcPr>
            <w:tcW w:w="605" w:type="pct"/>
            <w:vMerge w:val="continue"/>
            <w:tcBorders>
              <w:top w:val="single" w:color="auto" w:sz="4" w:space="0"/>
              <w:left w:val="single" w:color="auto" w:sz="4" w:space="0"/>
              <w:bottom w:val="single" w:color="auto" w:sz="4" w:space="0"/>
              <w:right w:val="single" w:color="auto" w:sz="4" w:space="0"/>
            </w:tcBorders>
            <w:noWrap w:val="0"/>
            <w:vAlign w:val="center"/>
          </w:tcPr>
          <w:p w14:paraId="6397F6DA">
            <w:pPr>
              <w:widowControl/>
              <w:spacing w:line="360" w:lineRule="auto"/>
              <w:jc w:val="center"/>
              <w:rPr>
                <w:rFonts w:hint="eastAsia" w:ascii="仿宋" w:hAnsi="仿宋" w:eastAsia="仿宋" w:cs="仿宋"/>
                <w:color w:val="auto"/>
                <w:sz w:val="21"/>
                <w:szCs w:val="21"/>
                <w:highlight w:val="none"/>
              </w:rPr>
            </w:pPr>
          </w:p>
        </w:tc>
        <w:tc>
          <w:tcPr>
            <w:tcW w:w="1250" w:type="pct"/>
            <w:vMerge w:val="continue"/>
            <w:tcBorders>
              <w:top w:val="single" w:color="auto" w:sz="4" w:space="0"/>
              <w:left w:val="single" w:color="auto" w:sz="4" w:space="0"/>
              <w:bottom w:val="single" w:color="auto" w:sz="4" w:space="0"/>
              <w:right w:val="single" w:color="auto" w:sz="4" w:space="0"/>
            </w:tcBorders>
            <w:noWrap w:val="0"/>
            <w:vAlign w:val="center"/>
          </w:tcPr>
          <w:p w14:paraId="3C07EFF4">
            <w:pPr>
              <w:widowControl/>
              <w:spacing w:line="360" w:lineRule="auto"/>
              <w:jc w:val="center"/>
              <w:rPr>
                <w:rFonts w:hint="eastAsia" w:ascii="仿宋" w:hAnsi="仿宋" w:eastAsia="仿宋" w:cs="仿宋"/>
                <w:color w:val="auto"/>
                <w:sz w:val="21"/>
                <w:szCs w:val="21"/>
                <w:highlight w:val="none"/>
              </w:rPr>
            </w:pPr>
          </w:p>
        </w:tc>
        <w:tc>
          <w:tcPr>
            <w:tcW w:w="621" w:type="pct"/>
            <w:vMerge w:val="continue"/>
            <w:tcBorders>
              <w:top w:val="single" w:color="auto" w:sz="4" w:space="0"/>
              <w:left w:val="single" w:color="auto" w:sz="4" w:space="0"/>
              <w:bottom w:val="single" w:color="auto" w:sz="4" w:space="0"/>
              <w:right w:val="single" w:color="auto" w:sz="4" w:space="0"/>
            </w:tcBorders>
            <w:noWrap w:val="0"/>
            <w:vAlign w:val="center"/>
          </w:tcPr>
          <w:p w14:paraId="10C42533">
            <w:pPr>
              <w:widowControl/>
              <w:spacing w:line="360" w:lineRule="auto"/>
              <w:jc w:val="center"/>
              <w:rPr>
                <w:rFonts w:hint="eastAsia" w:ascii="仿宋" w:hAnsi="仿宋" w:eastAsia="仿宋" w:cs="仿宋"/>
                <w:color w:val="auto"/>
                <w:sz w:val="21"/>
                <w:szCs w:val="21"/>
                <w:highlight w:val="none"/>
              </w:rPr>
            </w:pPr>
          </w:p>
        </w:tc>
        <w:tc>
          <w:tcPr>
            <w:tcW w:w="861" w:type="pct"/>
            <w:vMerge w:val="continue"/>
            <w:tcBorders>
              <w:top w:val="single" w:color="auto" w:sz="4" w:space="0"/>
              <w:left w:val="single" w:color="auto" w:sz="4" w:space="0"/>
              <w:bottom w:val="single" w:color="auto" w:sz="4" w:space="0"/>
              <w:right w:val="single" w:color="auto" w:sz="4" w:space="0"/>
            </w:tcBorders>
            <w:noWrap w:val="0"/>
            <w:vAlign w:val="center"/>
          </w:tcPr>
          <w:p w14:paraId="4B6C72B2">
            <w:pPr>
              <w:widowControl/>
              <w:spacing w:line="360" w:lineRule="auto"/>
              <w:jc w:val="center"/>
              <w:rPr>
                <w:rFonts w:hint="eastAsia" w:ascii="仿宋" w:hAnsi="仿宋" w:eastAsia="仿宋" w:cs="仿宋"/>
                <w:color w:val="auto"/>
                <w:sz w:val="21"/>
                <w:szCs w:val="21"/>
                <w:highlight w:val="none"/>
              </w:rPr>
            </w:pPr>
          </w:p>
        </w:tc>
        <w:tc>
          <w:tcPr>
            <w:tcW w:w="636" w:type="pct"/>
            <w:tcBorders>
              <w:top w:val="nil"/>
              <w:left w:val="nil"/>
              <w:bottom w:val="single" w:color="auto" w:sz="4" w:space="0"/>
              <w:right w:val="single" w:color="auto" w:sz="4" w:space="0"/>
            </w:tcBorders>
            <w:noWrap w:val="0"/>
            <w:vAlign w:val="center"/>
          </w:tcPr>
          <w:p w14:paraId="3B8CDC18">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711" w:type="pct"/>
            <w:tcBorders>
              <w:top w:val="nil"/>
              <w:left w:val="nil"/>
              <w:bottom w:val="single" w:color="auto" w:sz="4" w:space="0"/>
              <w:right w:val="single" w:color="auto" w:sz="4" w:space="0"/>
            </w:tcBorders>
            <w:noWrap w:val="0"/>
            <w:vAlign w:val="center"/>
          </w:tcPr>
          <w:p w14:paraId="0D838CDF">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14:paraId="23996E43">
        <w:tblPrEx>
          <w:tblCellMar>
            <w:top w:w="0" w:type="dxa"/>
            <w:left w:w="108" w:type="dxa"/>
            <w:bottom w:w="0" w:type="dxa"/>
            <w:right w:w="108" w:type="dxa"/>
          </w:tblCellMar>
        </w:tblPrEx>
        <w:trPr>
          <w:trHeight w:val="573" w:hRule="atLeast"/>
        </w:trPr>
        <w:tc>
          <w:tcPr>
            <w:tcW w:w="312" w:type="pct"/>
            <w:tcBorders>
              <w:top w:val="nil"/>
              <w:left w:val="single" w:color="auto" w:sz="4" w:space="0"/>
              <w:bottom w:val="single" w:color="auto" w:sz="4" w:space="0"/>
              <w:right w:val="single" w:color="auto" w:sz="4" w:space="0"/>
            </w:tcBorders>
            <w:noWrap w:val="0"/>
            <w:vAlign w:val="center"/>
          </w:tcPr>
          <w:p w14:paraId="0A333954">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605" w:type="pct"/>
            <w:tcBorders>
              <w:top w:val="nil"/>
              <w:left w:val="nil"/>
              <w:bottom w:val="single" w:color="auto" w:sz="4" w:space="0"/>
              <w:right w:val="single" w:color="auto" w:sz="4" w:space="0"/>
            </w:tcBorders>
            <w:noWrap w:val="0"/>
            <w:vAlign w:val="center"/>
          </w:tcPr>
          <w:p w14:paraId="5E9926AD">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70458467</w:t>
            </w:r>
          </w:p>
        </w:tc>
        <w:tc>
          <w:tcPr>
            <w:tcW w:w="1250" w:type="pct"/>
            <w:tcBorders>
              <w:top w:val="nil"/>
              <w:left w:val="nil"/>
              <w:bottom w:val="single" w:color="auto" w:sz="4" w:space="0"/>
              <w:right w:val="single" w:color="auto" w:sz="4" w:space="0"/>
            </w:tcBorders>
            <w:noWrap w:val="0"/>
            <w:vAlign w:val="center"/>
          </w:tcPr>
          <w:p w14:paraId="42EEA002">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钢制弹簧联轴器\(PEPPERL+FUCHS)9401 8×10 </w:t>
            </w:r>
          </w:p>
        </w:tc>
        <w:tc>
          <w:tcPr>
            <w:tcW w:w="621" w:type="pct"/>
            <w:tcBorders>
              <w:top w:val="nil"/>
              <w:left w:val="nil"/>
              <w:bottom w:val="single" w:color="auto" w:sz="4" w:space="0"/>
              <w:right w:val="single" w:color="auto" w:sz="4" w:space="0"/>
            </w:tcBorders>
            <w:noWrap w:val="0"/>
            <w:vAlign w:val="center"/>
          </w:tcPr>
          <w:p w14:paraId="40D70994">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5件</w:t>
            </w:r>
          </w:p>
        </w:tc>
        <w:tc>
          <w:tcPr>
            <w:tcW w:w="861" w:type="pct"/>
            <w:tcBorders>
              <w:top w:val="nil"/>
              <w:left w:val="nil"/>
              <w:bottom w:val="single" w:color="auto" w:sz="4" w:space="0"/>
              <w:right w:val="single" w:color="auto" w:sz="4" w:space="0"/>
            </w:tcBorders>
            <w:noWrap w:val="0"/>
            <w:vAlign w:val="center"/>
          </w:tcPr>
          <w:p w14:paraId="2B8BEC70">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参照或相当于</w:t>
            </w:r>
            <w:bookmarkStart w:id="1" w:name="_GoBack"/>
            <w:bookmarkEnd w:id="1"/>
            <w:r>
              <w:rPr>
                <w:rFonts w:hint="eastAsia" w:ascii="仿宋" w:hAnsi="仿宋" w:eastAsia="仿宋" w:cs="仿宋"/>
                <w:color w:val="auto"/>
                <w:sz w:val="21"/>
                <w:szCs w:val="21"/>
                <w:highlight w:val="none"/>
                <w:lang w:val="en-US" w:eastAsia="zh-CN"/>
              </w:rPr>
              <w:t>倍加福</w:t>
            </w:r>
          </w:p>
        </w:tc>
        <w:tc>
          <w:tcPr>
            <w:tcW w:w="636" w:type="pct"/>
            <w:tcBorders>
              <w:top w:val="nil"/>
              <w:left w:val="nil"/>
              <w:bottom w:val="single" w:color="auto" w:sz="4" w:space="0"/>
              <w:right w:val="single" w:color="auto" w:sz="4" w:space="0"/>
            </w:tcBorders>
            <w:noWrap w:val="0"/>
            <w:vAlign w:val="center"/>
          </w:tcPr>
          <w:p w14:paraId="5DF57FF9">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711" w:type="pct"/>
            <w:tcBorders>
              <w:top w:val="nil"/>
              <w:left w:val="nil"/>
              <w:bottom w:val="single" w:color="auto" w:sz="4" w:space="0"/>
              <w:right w:val="single" w:color="auto" w:sz="4" w:space="0"/>
            </w:tcBorders>
            <w:noWrap w:val="0"/>
            <w:vAlign w:val="center"/>
          </w:tcPr>
          <w:p w14:paraId="46B683B2">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14:paraId="5FC021D1">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14:paraId="74DE19D3">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14:paraId="5C0620A1">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14:paraId="451FF1AD">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14:paraId="2C78C853">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14:paraId="2229FC45">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14:paraId="3ADCFB0A">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14:paraId="73106A30">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4.2.5 </w:t>
      </w:r>
      <w:r>
        <w:rPr>
          <w:rFonts w:hint="eastAsia" w:ascii="仿宋" w:hAnsi="仿宋" w:eastAsia="仿宋" w:cs="仿宋"/>
          <w:color w:val="auto"/>
          <w:sz w:val="21"/>
          <w:szCs w:val="21"/>
          <w:highlight w:val="none"/>
          <w:lang w:val="en-US" w:eastAsia="zh-CN"/>
        </w:rPr>
        <w:t>钢制弹簧联轴器</w:t>
      </w:r>
      <w:r>
        <w:rPr>
          <w:rFonts w:hint="eastAsia" w:ascii="仿宋" w:hAnsi="仿宋" w:eastAsia="仿宋" w:cs="仿宋"/>
          <w:color w:val="auto"/>
          <w:kern w:val="2"/>
          <w:sz w:val="21"/>
          <w:szCs w:val="21"/>
          <w:highlight w:val="none"/>
          <w:lang w:val="en-US" w:eastAsia="zh-CN"/>
        </w:rPr>
        <w:t>检验报告书；</w:t>
      </w:r>
    </w:p>
    <w:p w14:paraId="6D99B921">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4.2.6 </w:t>
      </w:r>
      <w:r>
        <w:rPr>
          <w:rFonts w:hint="eastAsia" w:ascii="仿宋" w:hAnsi="仿宋" w:eastAsia="仿宋" w:cs="仿宋"/>
          <w:color w:val="auto"/>
          <w:sz w:val="21"/>
          <w:szCs w:val="21"/>
          <w:highlight w:val="none"/>
          <w:lang w:val="en-US" w:eastAsia="zh-CN"/>
        </w:rPr>
        <w:t>钢制弹簧联轴器</w:t>
      </w:r>
      <w:r>
        <w:rPr>
          <w:rFonts w:hint="eastAsia" w:ascii="仿宋" w:hAnsi="仿宋" w:eastAsia="仿宋" w:cs="仿宋"/>
          <w:color w:val="auto"/>
          <w:kern w:val="2"/>
          <w:sz w:val="21"/>
          <w:szCs w:val="21"/>
          <w:highlight w:val="none"/>
          <w:lang w:val="en-US" w:eastAsia="zh-CN"/>
        </w:rPr>
        <w:t>质量保证书。</w:t>
      </w:r>
    </w:p>
    <w:p w14:paraId="7F5D105B">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17390525">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22B8A4D6">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7BFC5671">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：赵腾飞</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17394185205 </w:t>
      </w:r>
    </w:p>
    <w:p w14:paraId="0D9786B1">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ascii="微软雅黑" w:hAnsi="微软雅黑" w:eastAsia="微软雅黑" w:cs="微软雅黑"/>
          <w:b/>
          <w:bCs/>
          <w:i w:val="0"/>
          <w:iCs w:val="0"/>
          <w:caps w:val="0"/>
          <w:color w:val="000000"/>
          <w:spacing w:val="0"/>
          <w:sz w:val="19"/>
          <w:szCs w:val="19"/>
          <w:shd w:val="clear" w:fill="FFFFFF"/>
        </w:rPr>
        <w:t>zhaotengfeil@jiugang.com</w:t>
      </w:r>
    </w:p>
    <w:p w14:paraId="2BFDA4F8">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14:paraId="6DE4FCC6">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color w:val="auto"/>
          <w:sz w:val="21"/>
          <w:szCs w:val="21"/>
          <w:highlight w:val="none"/>
          <w:lang w:val="en-US" w:eastAsia="zh-CN"/>
        </w:rPr>
        <w:t>钢制弹簧联轴器</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w:t>
      </w:r>
      <w:r>
        <w:rPr>
          <w:rFonts w:hint="eastAsia" w:ascii="仿宋" w:hAnsi="仿宋" w:eastAsia="仿宋" w:cs="仿宋"/>
          <w:b w:val="0"/>
          <w:bCs w:val="0"/>
          <w:color w:val="auto"/>
          <w:kern w:val="2"/>
          <w:sz w:val="21"/>
          <w:szCs w:val="21"/>
          <w:highlight w:val="none"/>
          <w:lang w:val="en-US" w:eastAsia="zh-CN"/>
        </w:rPr>
        <w:t>24</w:t>
      </w:r>
      <w:r>
        <w:rPr>
          <w:rFonts w:hint="eastAsia" w:ascii="仿宋" w:hAnsi="仿宋" w:eastAsia="仿宋" w:cs="仿宋"/>
          <w:b w:val="0"/>
          <w:bCs w:val="0"/>
          <w:color w:val="auto"/>
          <w:kern w:val="2"/>
          <w:sz w:val="21"/>
          <w:szCs w:val="21"/>
          <w:highlight w:val="none"/>
        </w:rPr>
        <w:t>个月。</w:t>
      </w:r>
    </w:p>
    <w:p w14:paraId="4DCF8E1E">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14:paraId="022DF394">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14:paraId="77388EF9">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14:paraId="15D0232B">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14:paraId="1AC0B9B4">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已合同签订交货日期为准。</w:t>
      </w:r>
    </w:p>
    <w:p w14:paraId="3C4BBD34">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14:paraId="04BA6543">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14:paraId="31C929B6">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14:paraId="0996C945">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14:paraId="59F3F8A7">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14:paraId="5E0E30F2">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14:paraId="7A722DC0">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14:paraId="4598FA58">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14:paraId="1A9D18C9">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14:paraId="37AD8B49">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14:paraId="2B825723">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2BA4628B">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7323AE11">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36A89B02">
      <w:pPr>
        <w:rPr>
          <w:rFonts w:hint="eastAsia" w:ascii="仿宋" w:hAnsi="仿宋" w:eastAsia="仿宋" w:cs="仿宋"/>
          <w:color w:val="auto"/>
          <w:sz w:val="21"/>
          <w:szCs w:val="21"/>
          <w:highlight w:val="none"/>
        </w:rPr>
      </w:pP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魏碑简体">
    <w:panose1 w:val="02000000000000000000"/>
    <w:charset w:val="86"/>
    <w:family w:val="auto"/>
    <w:pitch w:val="default"/>
    <w:sig w:usb0="A00002BF" w:usb1="184F6CFA"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E3333">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yYjY0ZmZhNDY4ZmE2OWVhMjQwYTJiYTE2YTFmYTM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2B14908"/>
    <w:rsid w:val="03DF3D4F"/>
    <w:rsid w:val="045A41EA"/>
    <w:rsid w:val="04931259"/>
    <w:rsid w:val="08416F2D"/>
    <w:rsid w:val="0A502357"/>
    <w:rsid w:val="0AF75787"/>
    <w:rsid w:val="0C693DF6"/>
    <w:rsid w:val="0C7B5B42"/>
    <w:rsid w:val="0F6949B9"/>
    <w:rsid w:val="0F7D664A"/>
    <w:rsid w:val="0FA7334B"/>
    <w:rsid w:val="11AC1D80"/>
    <w:rsid w:val="14A05351"/>
    <w:rsid w:val="14A213F8"/>
    <w:rsid w:val="15B8653A"/>
    <w:rsid w:val="15C0276A"/>
    <w:rsid w:val="16A949D4"/>
    <w:rsid w:val="16FA231D"/>
    <w:rsid w:val="17B55FF2"/>
    <w:rsid w:val="18A90670"/>
    <w:rsid w:val="190D30A5"/>
    <w:rsid w:val="1A9210DE"/>
    <w:rsid w:val="1A9968DC"/>
    <w:rsid w:val="1C3A718F"/>
    <w:rsid w:val="1D0E6271"/>
    <w:rsid w:val="1E5E47F8"/>
    <w:rsid w:val="1F020C93"/>
    <w:rsid w:val="205F020B"/>
    <w:rsid w:val="262C11AD"/>
    <w:rsid w:val="264D6D44"/>
    <w:rsid w:val="26BA059A"/>
    <w:rsid w:val="274A49E9"/>
    <w:rsid w:val="29796396"/>
    <w:rsid w:val="2AE17982"/>
    <w:rsid w:val="2D34414E"/>
    <w:rsid w:val="2F5A6DBC"/>
    <w:rsid w:val="2F9841D9"/>
    <w:rsid w:val="2F9E416C"/>
    <w:rsid w:val="30E5320A"/>
    <w:rsid w:val="316F691B"/>
    <w:rsid w:val="34F76C36"/>
    <w:rsid w:val="352670DE"/>
    <w:rsid w:val="38822413"/>
    <w:rsid w:val="39481A9A"/>
    <w:rsid w:val="39FA0C5E"/>
    <w:rsid w:val="3A725F79"/>
    <w:rsid w:val="3E3770BC"/>
    <w:rsid w:val="3EAF1EBE"/>
    <w:rsid w:val="400A0C2B"/>
    <w:rsid w:val="42650422"/>
    <w:rsid w:val="43AA712C"/>
    <w:rsid w:val="46FD587D"/>
    <w:rsid w:val="48AE77F9"/>
    <w:rsid w:val="49916AB0"/>
    <w:rsid w:val="4A1D17C2"/>
    <w:rsid w:val="4E02772B"/>
    <w:rsid w:val="4F7E26BC"/>
    <w:rsid w:val="508431D1"/>
    <w:rsid w:val="52543B4B"/>
    <w:rsid w:val="52BF48BF"/>
    <w:rsid w:val="53193986"/>
    <w:rsid w:val="53B546F8"/>
    <w:rsid w:val="55F63FF6"/>
    <w:rsid w:val="577F2AA1"/>
    <w:rsid w:val="57F435E4"/>
    <w:rsid w:val="58374651"/>
    <w:rsid w:val="5860648A"/>
    <w:rsid w:val="5A5B7F3B"/>
    <w:rsid w:val="5EB033F0"/>
    <w:rsid w:val="5FA200DE"/>
    <w:rsid w:val="5FFA14AD"/>
    <w:rsid w:val="608B2DCE"/>
    <w:rsid w:val="61D858B1"/>
    <w:rsid w:val="625E7ACB"/>
    <w:rsid w:val="64096063"/>
    <w:rsid w:val="648E0483"/>
    <w:rsid w:val="67A63303"/>
    <w:rsid w:val="687E56F0"/>
    <w:rsid w:val="688E05B8"/>
    <w:rsid w:val="68AE1144"/>
    <w:rsid w:val="6AB0617B"/>
    <w:rsid w:val="6F44772F"/>
    <w:rsid w:val="72D75DC2"/>
    <w:rsid w:val="736E46C5"/>
    <w:rsid w:val="74753B7F"/>
    <w:rsid w:val="74FB6702"/>
    <w:rsid w:val="754D1F74"/>
    <w:rsid w:val="7A073341"/>
    <w:rsid w:val="7B300336"/>
    <w:rsid w:val="7B7A6D7B"/>
    <w:rsid w:val="7DB21DB9"/>
    <w:rsid w:val="7EA13CD1"/>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5</Pages>
  <Words>1503</Words>
  <Characters>1741</Characters>
  <Lines>16</Lines>
  <Paragraphs>4</Paragraphs>
  <TotalTime>8</TotalTime>
  <ScaleCrop>false</ScaleCrop>
  <LinksUpToDate>false</LinksUpToDate>
  <CharactersWithSpaces>1863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00054809</cp:lastModifiedBy>
  <cp:lastPrinted>2010-06-13T03:59:00Z</cp:lastPrinted>
  <dcterms:modified xsi:type="dcterms:W3CDTF">2026-06-25T02:42:54Z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B58D5192DB8B4D249F41BED6C0A51283_13</vt:lpwstr>
  </property>
  <property fmtid="{D5CDD505-2E9C-101B-9397-08002B2CF9AE}" pid="4" name="KSOTemplateDocerSaveRecord">
    <vt:lpwstr>eyJoZGlkIjoiZGVmODFjOWU3YjY2NmExZmY5NjJjMjg5ODAwZGRhMTciLCJ1c2VySWQiOiIxNzYzNTE1ODgwIn0=</vt:lpwstr>
  </property>
</Properties>
</file>